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2-комн.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ВАО, 15-я Парковая ул., 28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Первомайская, 3 мин. на машине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67 500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 / 22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57.0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18 мая, 15:14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Яндекс Аренда</w:t>
      </w:r>
    </w:p>
    <!-- offer description -->
    <w:p>
      <w:pPr>
        <w:pStyle w:val="Normal"/>
        <w:spacing w:before="0" w:after="0" w:beforeLines="0" w:afterLines="0"/>
      </w:pPr>
      <w:r>
        <w:t>Сдаётся 2-комнатная квартира площадью 57 кв.м. с евроремонтом на 1 этаже в 22-этажном доме. Из техники есть:
 Телевизор
 Духовой шкаф
 Стиральная машина
 Холодильник
 Посудомоечная машина
 Кондиционер
 Микроволновка
Дом - блочный, окна выходят во двор. В подъезде 2 лифта - 1 грузовой и 1 пассажирский. Во дворе есть бесплатная парковка.
Коммунальные услуги по счетчикам оплачиваются дополнительно.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